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6A" w:rsidRPr="00AE106A" w:rsidRDefault="00AE106A" w:rsidP="00AE106A">
      <w:pPr>
        <w:shd w:val="clear" w:color="auto" w:fill="FFFFFF"/>
        <w:spacing w:line="240" w:lineRule="atLeast"/>
        <w:outlineLvl w:val="0"/>
        <w:rPr>
          <w:rFonts w:ascii="Arial" w:eastAsia="Times New Roman" w:hAnsi="Arial" w:cs="Arial"/>
          <w:b/>
          <w:bCs/>
          <w:kern w:val="36"/>
          <w:sz w:val="24"/>
          <w:szCs w:val="24"/>
          <w:lang w:eastAsia="en-GB"/>
        </w:rPr>
      </w:pPr>
      <w:bookmarkStart w:id="0" w:name="_GoBack"/>
      <w:bookmarkEnd w:id="0"/>
      <w:r w:rsidRPr="00AE106A">
        <w:rPr>
          <w:rFonts w:ascii="Arial" w:eastAsia="Times New Roman" w:hAnsi="Arial" w:cs="Arial"/>
          <w:b/>
          <w:bCs/>
          <w:kern w:val="36"/>
          <w:sz w:val="24"/>
          <w:szCs w:val="24"/>
          <w:lang w:eastAsia="en-GB"/>
        </w:rPr>
        <w:t>Coronavirus (COVID-19) Privacy Notice</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This privacy notice is to explain  and provide you with information on how we collect and hold information about you in relation to the unprecedented challenges we face as a result of the Coronavirus pandemic (COVID-19).</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You can view the </w:t>
      </w:r>
      <w:hyperlink r:id="rId5" w:tooltip="Privacy notice" w:history="1">
        <w:r w:rsidRPr="00AE106A">
          <w:rPr>
            <w:rFonts w:ascii="Arial" w:eastAsia="Times New Roman" w:hAnsi="Arial" w:cs="Arial"/>
            <w:sz w:val="24"/>
            <w:szCs w:val="24"/>
            <w:lang w:eastAsia="en-GB"/>
          </w:rPr>
          <w:t>Sydenham House Privacy Notice</w:t>
        </w:r>
      </w:hyperlink>
      <w:r w:rsidRPr="00AE106A">
        <w:rPr>
          <w:rFonts w:ascii="Arial" w:eastAsia="Times New Roman" w:hAnsi="Arial" w:cs="Arial"/>
          <w:sz w:val="24"/>
          <w:szCs w:val="24"/>
          <w:lang w:eastAsia="en-GB"/>
        </w:rPr>
        <w:t> which contains more information on how we collect, use and protect personal data generally, as well as your rights as a data subject.</w:t>
      </w:r>
    </w:p>
    <w:p w:rsidR="00AE106A" w:rsidRPr="00AE106A" w:rsidRDefault="00AE106A" w:rsidP="00AE106A">
      <w:pPr>
        <w:shd w:val="clear" w:color="auto" w:fill="FFFFFF"/>
        <w:spacing w:after="0" w:line="336" w:lineRule="atLeast"/>
        <w:outlineLvl w:val="1"/>
        <w:rPr>
          <w:rFonts w:ascii="Arial" w:eastAsia="Times New Roman" w:hAnsi="Arial" w:cs="Arial"/>
          <w:b/>
          <w:bCs/>
          <w:sz w:val="24"/>
          <w:szCs w:val="24"/>
          <w:lang w:eastAsia="en-GB"/>
        </w:rPr>
      </w:pPr>
      <w:r w:rsidRPr="00AE106A">
        <w:rPr>
          <w:rFonts w:ascii="Arial" w:eastAsia="Times New Roman" w:hAnsi="Arial" w:cs="Arial"/>
          <w:b/>
          <w:bCs/>
          <w:sz w:val="24"/>
          <w:szCs w:val="24"/>
          <w:lang w:eastAsia="en-GB"/>
        </w:rPr>
        <w:t>What information do we collect and how will we use it?</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In order to best respond and help coordinate the community response for COVID-19 it is necessary to collect basic details about you including your name, address, telephone number and email address. </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We may also ask you for sensitive personal data that you have not already supplied, for example, your age or if you have any underlying illnesses or are vulnerable.  This is so we can assist you and prioritise our services.</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We may also ask you for information to help us identify and understand about those suffering with, or at risk of suffering with, COVID-19; information about incidents of exposure to COVID-19 and the management of outbreaks of or the risk of COVID-19 including locating, contacting, screening, flagging and monitoring such incidents and collecting information about and providing services in relation to testing, diagnosis, self-isolation, fitness to work, treatment, medical and social interventions and recovery from COVID-19.</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Whilst we may already hold data about you, you may have provided this information for a specific reason and normally we would seek to inform you that the data provided would be being used for a different reason, however, due to the rapidly emerging situation regarding the current pandemic this will not always be possible. </w:t>
      </w:r>
    </w:p>
    <w:p w:rsid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Additionally at this time, we may seek to collect and process information from you, which is above and beyond what would ordinarily be collected. This is necessary to ensure your safety and well-being, however we will ensure that this will be limited to what is proportionate and necessary for us, in accordance with Government guidance, to manage and contain the virus and enable us to effectively keep people safe, put contingency plans into place to safeguard those who are vulnerable and to aid business continuity.</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p>
    <w:p w:rsidR="00AE106A" w:rsidRPr="00AE106A" w:rsidRDefault="00AE106A" w:rsidP="00AE106A">
      <w:pPr>
        <w:shd w:val="clear" w:color="auto" w:fill="FFFFFF"/>
        <w:spacing w:after="0" w:line="336" w:lineRule="atLeast"/>
        <w:outlineLvl w:val="1"/>
        <w:rPr>
          <w:rFonts w:ascii="Arial" w:eastAsia="Times New Roman" w:hAnsi="Arial" w:cs="Arial"/>
          <w:b/>
          <w:bCs/>
          <w:sz w:val="24"/>
          <w:szCs w:val="24"/>
          <w:lang w:eastAsia="en-GB"/>
        </w:rPr>
      </w:pPr>
      <w:r w:rsidRPr="00AE106A">
        <w:rPr>
          <w:rFonts w:ascii="Arial" w:eastAsia="Times New Roman" w:hAnsi="Arial" w:cs="Arial"/>
          <w:b/>
          <w:bCs/>
          <w:sz w:val="24"/>
          <w:szCs w:val="24"/>
          <w:lang w:eastAsia="en-GB"/>
        </w:rPr>
        <w:lastRenderedPageBreak/>
        <w:t>What is the lawful basis for processing personal data?</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The legal basis for processing your data is that it is in the public interest for us to deal with the outbreak of COVID-19.</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The UK General Data Protection Regulation requires specific conditions to be met to ensure that the processing of personal data is lawful. These relevant conditions are:</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b/>
          <w:bCs/>
          <w:sz w:val="24"/>
          <w:szCs w:val="24"/>
          <w:lang w:eastAsia="en-GB"/>
        </w:rPr>
        <w:t>Article 6(1</w:t>
      </w:r>
      <w:proofErr w:type="gramStart"/>
      <w:r w:rsidRPr="00AE106A">
        <w:rPr>
          <w:rFonts w:ascii="Arial" w:eastAsia="Times New Roman" w:hAnsi="Arial" w:cs="Arial"/>
          <w:b/>
          <w:bCs/>
          <w:sz w:val="24"/>
          <w:szCs w:val="24"/>
          <w:lang w:eastAsia="en-GB"/>
        </w:rPr>
        <w:t>)(</w:t>
      </w:r>
      <w:proofErr w:type="gramEnd"/>
      <w:r w:rsidRPr="00AE106A">
        <w:rPr>
          <w:rFonts w:ascii="Arial" w:eastAsia="Times New Roman" w:hAnsi="Arial" w:cs="Arial"/>
          <w:b/>
          <w:bCs/>
          <w:sz w:val="24"/>
          <w:szCs w:val="24"/>
          <w:lang w:eastAsia="en-GB"/>
        </w:rPr>
        <w:t>d) GDPR - </w:t>
      </w:r>
      <w:r w:rsidRPr="00AE106A">
        <w:rPr>
          <w:rFonts w:ascii="Arial" w:eastAsia="Times New Roman" w:hAnsi="Arial" w:cs="Arial"/>
          <w:sz w:val="24"/>
          <w:szCs w:val="24"/>
          <w:lang w:eastAsia="en-GB"/>
        </w:rPr>
        <w:t>processing is necessary in order to protect the vital interests of the data subject or another natural person.</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b/>
          <w:bCs/>
          <w:sz w:val="24"/>
          <w:szCs w:val="24"/>
          <w:lang w:eastAsia="en-GB"/>
        </w:rPr>
        <w:t>Recital 46</w:t>
      </w:r>
      <w:r w:rsidRPr="00AE106A">
        <w:rPr>
          <w:rFonts w:ascii="Arial" w:eastAsia="Times New Roman" w:hAnsi="Arial" w:cs="Arial"/>
          <w:sz w:val="24"/>
          <w:szCs w:val="24"/>
          <w:lang w:eastAsia="en-GB"/>
        </w:rPr>
        <w:t> adds that "some processing may serve both important grounds of public interest and the vital interests of the data subject as for instance when processing is necessary for humanitarian purposes, including for monitoring epidemics and their spread".</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b/>
          <w:bCs/>
          <w:sz w:val="24"/>
          <w:szCs w:val="24"/>
          <w:lang w:eastAsia="en-GB"/>
        </w:rPr>
        <w:t>Article 6(1)(e) GDPR</w:t>
      </w:r>
      <w:r w:rsidRPr="00AE106A">
        <w:rPr>
          <w:rFonts w:ascii="Arial" w:eastAsia="Times New Roman" w:hAnsi="Arial" w:cs="Arial"/>
          <w:sz w:val="24"/>
          <w:szCs w:val="24"/>
          <w:lang w:eastAsia="en-GB"/>
        </w:rPr>
        <w:t> – processing is necessary for the performance of a task carried out in the public interest or in the exercise of official authority vested in the controller.</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 xml:space="preserve">The processing of special categories of personal data, which includes data concerning a person’s health, </w:t>
      </w:r>
      <w:proofErr w:type="gramStart"/>
      <w:r w:rsidRPr="00AE106A">
        <w:rPr>
          <w:rFonts w:ascii="Arial" w:eastAsia="Times New Roman" w:hAnsi="Arial" w:cs="Arial"/>
          <w:sz w:val="24"/>
          <w:szCs w:val="24"/>
          <w:lang w:eastAsia="en-GB"/>
        </w:rPr>
        <w:t>are</w:t>
      </w:r>
      <w:proofErr w:type="gramEnd"/>
      <w:r w:rsidRPr="00AE106A">
        <w:rPr>
          <w:rFonts w:ascii="Arial" w:eastAsia="Times New Roman" w:hAnsi="Arial" w:cs="Arial"/>
          <w:sz w:val="24"/>
          <w:szCs w:val="24"/>
          <w:lang w:eastAsia="en-GB"/>
        </w:rPr>
        <w:t xml:space="preserve"> prohibited unless specific further conditions can be met as follows:</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b/>
          <w:bCs/>
          <w:sz w:val="24"/>
          <w:szCs w:val="24"/>
          <w:lang w:eastAsia="en-GB"/>
        </w:rPr>
        <w:t>Article 9(2)(</w:t>
      </w:r>
      <w:proofErr w:type="spellStart"/>
      <w:r w:rsidRPr="00AE106A">
        <w:rPr>
          <w:rFonts w:ascii="Arial" w:eastAsia="Times New Roman" w:hAnsi="Arial" w:cs="Arial"/>
          <w:b/>
          <w:bCs/>
          <w:sz w:val="24"/>
          <w:szCs w:val="24"/>
          <w:lang w:eastAsia="en-GB"/>
        </w:rPr>
        <w:t>i</w:t>
      </w:r>
      <w:proofErr w:type="spellEnd"/>
      <w:r w:rsidRPr="00AE106A">
        <w:rPr>
          <w:rFonts w:ascii="Arial" w:eastAsia="Times New Roman" w:hAnsi="Arial" w:cs="Arial"/>
          <w:b/>
          <w:bCs/>
          <w:sz w:val="24"/>
          <w:szCs w:val="24"/>
          <w:lang w:eastAsia="en-GB"/>
        </w:rPr>
        <w:t>) GDPR</w:t>
      </w:r>
      <w:r w:rsidRPr="00AE106A">
        <w:rPr>
          <w:rFonts w:ascii="Arial" w:eastAsia="Times New Roman" w:hAnsi="Arial" w:cs="Arial"/>
          <w:sz w:val="24"/>
          <w:szCs w:val="24"/>
          <w:lang w:eastAsia="en-GB"/>
        </w:rPr>
        <w:t> – processing is necessary for reasons of public interest in the area of public health, such as protecting against serious cross-border threats to health.</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b/>
          <w:bCs/>
          <w:sz w:val="24"/>
          <w:szCs w:val="24"/>
          <w:lang w:eastAsia="en-GB"/>
        </w:rPr>
        <w:t>Schedule 1, Part 1(3) Data Protection Act 2018</w:t>
      </w:r>
      <w:r w:rsidRPr="00AE106A">
        <w:rPr>
          <w:rFonts w:ascii="Arial" w:eastAsia="Times New Roman" w:hAnsi="Arial" w:cs="Arial"/>
          <w:sz w:val="24"/>
          <w:szCs w:val="24"/>
          <w:lang w:eastAsia="en-GB"/>
        </w:rPr>
        <w:t> – processing is necessary for reasons of public interest in the area of public health, and is carried out by or under the responsibility of a health professional, or by another person who in the circumstances owes a duty of confidentiality under an enactment or rule of law.</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b/>
          <w:bCs/>
          <w:sz w:val="24"/>
          <w:szCs w:val="24"/>
          <w:lang w:eastAsia="en-GB"/>
        </w:rPr>
        <w:t>Article 9(2)(g) GDPR</w:t>
      </w:r>
      <w:r w:rsidRPr="00AE106A">
        <w:rPr>
          <w:rFonts w:ascii="Arial" w:eastAsia="Times New Roman" w:hAnsi="Arial" w:cs="Arial"/>
          <w:sz w:val="24"/>
          <w:szCs w:val="24"/>
          <w:lang w:eastAsia="en-GB"/>
        </w:rPr>
        <w:t> -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The legislations, policies and guidance that relate to this service include, but are not limited to:</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b/>
          <w:bCs/>
          <w:sz w:val="24"/>
          <w:szCs w:val="24"/>
          <w:lang w:eastAsia="en-GB"/>
        </w:rPr>
        <w:lastRenderedPageBreak/>
        <w:t>The Civil Contingencies Act 2004 and (contingency planning) Regulations 2005</w:t>
      </w:r>
      <w:r w:rsidRPr="00AE106A">
        <w:rPr>
          <w:rFonts w:ascii="Arial" w:eastAsia="Times New Roman" w:hAnsi="Arial" w:cs="Arial"/>
          <w:sz w:val="24"/>
          <w:szCs w:val="24"/>
          <w:lang w:eastAsia="en-GB"/>
        </w:rPr>
        <w:t xml:space="preserve"> Allows the local authorities continue to exercise its functions in the event of </w:t>
      </w:r>
      <w:proofErr w:type="spellStart"/>
      <w:r w:rsidRPr="00AE106A">
        <w:rPr>
          <w:rFonts w:ascii="Arial" w:eastAsia="Times New Roman" w:hAnsi="Arial" w:cs="Arial"/>
          <w:sz w:val="24"/>
          <w:szCs w:val="24"/>
          <w:lang w:eastAsia="en-GB"/>
        </w:rPr>
        <w:t>a</w:t>
      </w:r>
      <w:proofErr w:type="spellEnd"/>
      <w:r w:rsidRPr="00AE106A">
        <w:rPr>
          <w:rFonts w:ascii="Arial" w:eastAsia="Times New Roman" w:hAnsi="Arial" w:cs="Arial"/>
          <w:sz w:val="24"/>
          <w:szCs w:val="24"/>
          <w:lang w:eastAsia="en-GB"/>
        </w:rPr>
        <w:t xml:space="preserve"> emergency</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b/>
          <w:bCs/>
          <w:sz w:val="24"/>
          <w:szCs w:val="24"/>
          <w:lang w:eastAsia="en-GB"/>
        </w:rPr>
        <w:t>The Local Government Act 2000</w:t>
      </w:r>
      <w:r w:rsidRPr="00AE106A">
        <w:rPr>
          <w:rFonts w:ascii="Arial" w:eastAsia="Times New Roman" w:hAnsi="Arial" w:cs="Arial"/>
          <w:sz w:val="24"/>
          <w:szCs w:val="24"/>
          <w:lang w:eastAsia="en-GB"/>
        </w:rPr>
        <w:t> - Give powers to local authorities to promote economic, social and environmental well-being within District</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b/>
          <w:bCs/>
          <w:sz w:val="24"/>
          <w:szCs w:val="24"/>
          <w:lang w:eastAsia="en-GB"/>
        </w:rPr>
        <w:t>Care Act 2014 -</w:t>
      </w:r>
      <w:r w:rsidRPr="00AE106A">
        <w:rPr>
          <w:rFonts w:ascii="Arial" w:eastAsia="Times New Roman" w:hAnsi="Arial" w:cs="Arial"/>
          <w:sz w:val="24"/>
          <w:szCs w:val="24"/>
          <w:lang w:eastAsia="en-GB"/>
        </w:rPr>
        <w:t> legal framework for local authorities support the individual’s ‘wellbeing’</w:t>
      </w:r>
    </w:p>
    <w:p w:rsidR="00AE106A" w:rsidRPr="00AE106A" w:rsidRDefault="00AE106A" w:rsidP="00AE106A">
      <w:pPr>
        <w:shd w:val="clear" w:color="auto" w:fill="FFFFFF"/>
        <w:spacing w:after="0" w:line="336" w:lineRule="atLeast"/>
        <w:outlineLvl w:val="1"/>
        <w:rPr>
          <w:rFonts w:ascii="Arial" w:eastAsia="Times New Roman" w:hAnsi="Arial" w:cs="Arial"/>
          <w:b/>
          <w:bCs/>
          <w:sz w:val="24"/>
          <w:szCs w:val="24"/>
          <w:lang w:eastAsia="en-GB"/>
        </w:rPr>
      </w:pPr>
      <w:r w:rsidRPr="00AE106A">
        <w:rPr>
          <w:rFonts w:ascii="Arial" w:eastAsia="Times New Roman" w:hAnsi="Arial" w:cs="Arial"/>
          <w:b/>
          <w:bCs/>
          <w:sz w:val="24"/>
          <w:szCs w:val="24"/>
          <w:lang w:eastAsia="en-GB"/>
        </w:rPr>
        <w:t>Who are we likely to share this information with?</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In this current pandemic, we may share your personal data internally within our various departments and services as well as externally with other public authorities, emergency services, and other stakeholders, as necessary and proportionate to do.</w:t>
      </w:r>
    </w:p>
    <w:p w:rsidR="00AE106A" w:rsidRPr="00AE106A" w:rsidRDefault="00AE106A" w:rsidP="00AE106A">
      <w:pPr>
        <w:shd w:val="clear" w:color="auto" w:fill="FFFFFF"/>
        <w:spacing w:after="0" w:line="336" w:lineRule="atLeast"/>
        <w:outlineLvl w:val="1"/>
        <w:rPr>
          <w:rFonts w:ascii="Arial" w:eastAsia="Times New Roman" w:hAnsi="Arial" w:cs="Arial"/>
          <w:b/>
          <w:bCs/>
          <w:sz w:val="24"/>
          <w:szCs w:val="24"/>
          <w:lang w:eastAsia="en-GB"/>
        </w:rPr>
      </w:pPr>
      <w:r w:rsidRPr="00AE106A">
        <w:rPr>
          <w:rFonts w:ascii="Arial" w:eastAsia="Times New Roman" w:hAnsi="Arial" w:cs="Arial"/>
          <w:b/>
          <w:bCs/>
          <w:sz w:val="24"/>
          <w:szCs w:val="24"/>
          <w:lang w:eastAsia="en-GB"/>
        </w:rPr>
        <w:t>Storing your information</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We will only keep your information for as long as it necessary, taking into account Government advice and the on-going risk presented by Coronavirus.  As a minimum the information outlined in this privacy notice will be kept for the duration of the COVID-19 response. </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Where possible we will anonymise your personal data so that you cannot be identified.</w:t>
      </w:r>
    </w:p>
    <w:p w:rsidR="00AE106A" w:rsidRP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When the information is no longer needed for this purpose, it will be securely deleted.</w:t>
      </w:r>
    </w:p>
    <w:p w:rsidR="00AE106A" w:rsidRPr="00AE106A" w:rsidRDefault="00AE106A" w:rsidP="00AE106A">
      <w:pPr>
        <w:shd w:val="clear" w:color="auto" w:fill="FFFFFF"/>
        <w:spacing w:after="0" w:line="336" w:lineRule="atLeast"/>
        <w:outlineLvl w:val="1"/>
        <w:rPr>
          <w:rFonts w:ascii="Arial" w:eastAsia="Times New Roman" w:hAnsi="Arial" w:cs="Arial"/>
          <w:b/>
          <w:bCs/>
          <w:sz w:val="24"/>
          <w:szCs w:val="24"/>
          <w:lang w:eastAsia="en-GB"/>
        </w:rPr>
      </w:pPr>
      <w:r w:rsidRPr="00AE106A">
        <w:rPr>
          <w:rFonts w:ascii="Arial" w:eastAsia="Times New Roman" w:hAnsi="Arial" w:cs="Arial"/>
          <w:b/>
          <w:bCs/>
          <w:sz w:val="24"/>
          <w:szCs w:val="24"/>
          <w:lang w:eastAsia="en-GB"/>
        </w:rPr>
        <w:t>Further information</w:t>
      </w:r>
    </w:p>
    <w:p w:rsidR="00AE106A" w:rsidRDefault="00AE106A" w:rsidP="00AE106A">
      <w:pPr>
        <w:shd w:val="clear" w:color="auto" w:fill="FFFFFF"/>
        <w:spacing w:after="150" w:line="384" w:lineRule="atLeast"/>
        <w:rPr>
          <w:rFonts w:ascii="Arial" w:eastAsia="Times New Roman" w:hAnsi="Arial" w:cs="Arial"/>
          <w:sz w:val="24"/>
          <w:szCs w:val="24"/>
          <w:lang w:eastAsia="en-GB"/>
        </w:rPr>
      </w:pPr>
      <w:r w:rsidRPr="00AE106A">
        <w:rPr>
          <w:rFonts w:ascii="Arial" w:eastAsia="Times New Roman" w:hAnsi="Arial" w:cs="Arial"/>
          <w:sz w:val="24"/>
          <w:szCs w:val="24"/>
          <w:lang w:eastAsia="en-GB"/>
        </w:rPr>
        <w:t>The </w:t>
      </w:r>
      <w:hyperlink r:id="rId6" w:history="1">
        <w:r w:rsidRPr="00AE106A">
          <w:rPr>
            <w:rFonts w:ascii="Arial" w:eastAsia="Times New Roman" w:hAnsi="Arial" w:cs="Arial"/>
            <w:sz w:val="24"/>
            <w:szCs w:val="24"/>
            <w:u w:val="single"/>
            <w:lang w:eastAsia="en-GB"/>
          </w:rPr>
          <w:t>Information Commissioner's Office has published its own FAQs</w:t>
        </w:r>
      </w:hyperlink>
      <w:r w:rsidRPr="00AE106A">
        <w:rPr>
          <w:rFonts w:ascii="Arial" w:eastAsia="Times New Roman" w:hAnsi="Arial" w:cs="Arial"/>
          <w:sz w:val="24"/>
          <w:szCs w:val="24"/>
          <w:lang w:eastAsia="en-GB"/>
        </w:rPr>
        <w:t> on data handling during the pandemic.</w:t>
      </w:r>
    </w:p>
    <w:p w:rsidR="00611325" w:rsidRDefault="00611325" w:rsidP="00AE106A">
      <w:pPr>
        <w:shd w:val="clear" w:color="auto" w:fill="FFFFFF"/>
        <w:spacing w:after="150" w:line="384" w:lineRule="atLeast"/>
        <w:rPr>
          <w:rFonts w:ascii="Arial" w:eastAsia="Times New Roman" w:hAnsi="Arial" w:cs="Arial"/>
          <w:sz w:val="24"/>
          <w:szCs w:val="24"/>
          <w:lang w:eastAsia="en-GB"/>
        </w:rPr>
      </w:pPr>
    </w:p>
    <w:p w:rsidR="00611325" w:rsidRDefault="00611325" w:rsidP="00AE106A">
      <w:pPr>
        <w:shd w:val="clear" w:color="auto" w:fill="FFFFFF"/>
        <w:spacing w:after="150" w:line="384" w:lineRule="atLeast"/>
        <w:rPr>
          <w:rFonts w:ascii="Arial" w:eastAsia="Times New Roman" w:hAnsi="Arial" w:cs="Arial"/>
          <w:sz w:val="24"/>
          <w:szCs w:val="24"/>
          <w:lang w:eastAsia="en-GB"/>
        </w:rPr>
      </w:pPr>
    </w:p>
    <w:p w:rsidR="00611325" w:rsidRPr="00AE106A" w:rsidRDefault="00611325" w:rsidP="00AE106A">
      <w:pPr>
        <w:shd w:val="clear" w:color="auto" w:fill="FFFFFF"/>
        <w:spacing w:after="150" w:line="384" w:lineRule="atLeast"/>
        <w:rPr>
          <w:rFonts w:ascii="Arial" w:eastAsia="Times New Roman" w:hAnsi="Arial" w:cs="Arial"/>
          <w:b/>
          <w:sz w:val="20"/>
          <w:szCs w:val="20"/>
          <w:lang w:eastAsia="en-GB"/>
        </w:rPr>
      </w:pPr>
      <w:r w:rsidRPr="00611325">
        <w:rPr>
          <w:rFonts w:ascii="Arial" w:eastAsia="Times New Roman" w:hAnsi="Arial" w:cs="Arial"/>
          <w:b/>
          <w:sz w:val="20"/>
          <w:szCs w:val="20"/>
          <w:lang w:eastAsia="en-GB"/>
        </w:rPr>
        <w:t>22.02.2022</w:t>
      </w:r>
      <w:r>
        <w:rPr>
          <w:rFonts w:ascii="Arial" w:eastAsia="Times New Roman" w:hAnsi="Arial" w:cs="Arial"/>
          <w:b/>
          <w:sz w:val="20"/>
          <w:szCs w:val="20"/>
          <w:lang w:eastAsia="en-GB"/>
        </w:rPr>
        <w:t xml:space="preserve"> </w:t>
      </w:r>
      <w:r w:rsidRPr="00611325">
        <w:rPr>
          <w:rFonts w:ascii="Arial" w:eastAsia="Times New Roman" w:hAnsi="Arial" w:cs="Arial"/>
          <w:b/>
          <w:sz w:val="20"/>
          <w:szCs w:val="20"/>
          <w:lang w:eastAsia="en-GB"/>
        </w:rPr>
        <w:t>PM</w:t>
      </w:r>
    </w:p>
    <w:sectPr w:rsidR="00611325" w:rsidRPr="00AE1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6A"/>
    <w:rsid w:val="004D6866"/>
    <w:rsid w:val="00611325"/>
    <w:rsid w:val="007737E3"/>
    <w:rsid w:val="00AE106A"/>
    <w:rsid w:val="00FB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35878">
      <w:bodyDiv w:val="1"/>
      <w:marLeft w:val="0"/>
      <w:marRight w:val="0"/>
      <w:marTop w:val="0"/>
      <w:marBottom w:val="0"/>
      <w:divBdr>
        <w:top w:val="none" w:sz="0" w:space="0" w:color="auto"/>
        <w:left w:val="none" w:sz="0" w:space="0" w:color="auto"/>
        <w:bottom w:val="none" w:sz="0" w:space="0" w:color="auto"/>
        <w:right w:val="none" w:sz="0" w:space="0" w:color="auto"/>
      </w:divBdr>
      <w:divsChild>
        <w:div w:id="1346402590">
          <w:marLeft w:val="0"/>
          <w:marRight w:val="0"/>
          <w:marTop w:val="0"/>
          <w:marBottom w:val="0"/>
          <w:divBdr>
            <w:top w:val="none" w:sz="0" w:space="0" w:color="auto"/>
            <w:left w:val="none" w:sz="0" w:space="0" w:color="auto"/>
            <w:bottom w:val="none" w:sz="0" w:space="0" w:color="auto"/>
            <w:right w:val="none" w:sz="0" w:space="0" w:color="auto"/>
          </w:divBdr>
          <w:divsChild>
            <w:div w:id="777796290">
              <w:marLeft w:val="150"/>
              <w:marRight w:val="0"/>
              <w:marTop w:val="0"/>
              <w:marBottom w:val="300"/>
              <w:divBdr>
                <w:top w:val="none" w:sz="0" w:space="0" w:color="auto"/>
                <w:left w:val="none" w:sz="0" w:space="0" w:color="auto"/>
                <w:bottom w:val="none" w:sz="0" w:space="0" w:color="auto"/>
                <w:right w:val="none" w:sz="0" w:space="0" w:color="auto"/>
              </w:divBdr>
            </w:div>
          </w:divsChild>
        </w:div>
        <w:div w:id="2110466429">
          <w:marLeft w:val="-30"/>
          <w:marRight w:val="-45"/>
          <w:marTop w:val="0"/>
          <w:marBottom w:val="0"/>
          <w:divBdr>
            <w:top w:val="none" w:sz="0" w:space="0" w:color="auto"/>
            <w:left w:val="none" w:sz="0" w:space="0" w:color="auto"/>
            <w:bottom w:val="none" w:sz="0" w:space="0" w:color="auto"/>
            <w:right w:val="none" w:sz="0" w:space="0" w:color="auto"/>
          </w:divBdr>
          <w:divsChild>
            <w:div w:id="1087263583">
              <w:marLeft w:val="0"/>
              <w:marRight w:val="0"/>
              <w:marTop w:val="0"/>
              <w:marBottom w:val="0"/>
              <w:divBdr>
                <w:top w:val="none" w:sz="0" w:space="0" w:color="auto"/>
                <w:left w:val="none" w:sz="0" w:space="0" w:color="auto"/>
                <w:bottom w:val="none" w:sz="0" w:space="0" w:color="auto"/>
                <w:right w:val="none" w:sz="0" w:space="0" w:color="auto"/>
              </w:divBdr>
              <w:divsChild>
                <w:div w:id="457575540">
                  <w:marLeft w:val="0"/>
                  <w:marRight w:val="0"/>
                  <w:marTop w:val="0"/>
                  <w:marBottom w:val="450"/>
                  <w:divBdr>
                    <w:top w:val="none" w:sz="0" w:space="0" w:color="auto"/>
                    <w:left w:val="none" w:sz="0" w:space="0" w:color="auto"/>
                    <w:bottom w:val="none" w:sz="0" w:space="0" w:color="auto"/>
                    <w:right w:val="none" w:sz="0" w:space="0" w:color="auto"/>
                  </w:divBdr>
                  <w:divsChild>
                    <w:div w:id="5553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co.org.uk/global/data-protection-and-coronavirus-information-hub/" TargetMode="External"/><Relationship Id="rId5" Type="http://schemas.openxmlformats.org/officeDocument/2006/relationships/hyperlink" Target="https://bradford.gov.uk/priva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Mills</dc:creator>
  <cp:lastModifiedBy>Nicole Munday</cp:lastModifiedBy>
  <cp:revision>2</cp:revision>
  <dcterms:created xsi:type="dcterms:W3CDTF">2022-04-07T15:38:00Z</dcterms:created>
  <dcterms:modified xsi:type="dcterms:W3CDTF">2022-04-07T15:38:00Z</dcterms:modified>
</cp:coreProperties>
</file>